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1677" w:rsidRDefault="00101677" w:rsidP="00101677">
      <w:pPr>
        <w:pStyle w:val="NormalWeb"/>
      </w:pPr>
      <w:r>
        <w:rPr>
          <w:rStyle w:val="Strong"/>
        </w:rPr>
        <w:t>Dear Assemblymember,</w:t>
      </w:r>
    </w:p>
    <w:p w:rsidR="005B33DC" w:rsidRDefault="005B33DC" w:rsidP="00101677">
      <w:pPr>
        <w:pStyle w:val="NormalWeb"/>
      </w:pPr>
      <w:r>
        <w:t>California has entered the climate century—a period defined not only by rising temperatures, but by sustained pressure on infrastructure, institutions, and public trust.</w:t>
      </w:r>
    </w:p>
    <w:p w:rsidR="00101677" w:rsidRPr="00101677" w:rsidRDefault="00101677" w:rsidP="00101677">
      <w:pPr>
        <w:pStyle w:val="NormalWeb"/>
      </w:pPr>
      <w:r w:rsidRPr="00101677">
        <w:t>The state has taken meaningful</w:t>
      </w:r>
      <w:r w:rsidR="00F9605F">
        <w:t xml:space="preserve"> steps toward decarbonization. California’s commitment to invest </w:t>
      </w:r>
      <w:r w:rsidR="00F9605F" w:rsidRPr="00101677">
        <w:t>in</w:t>
      </w:r>
      <w:r w:rsidRPr="00101677">
        <w:t xml:space="preserve"> offshore wind infrastructure, including the Humboldt Bay heavy-lift terminal, represent</w:t>
      </w:r>
      <w:r w:rsidR="00F9605F">
        <w:t>s</w:t>
      </w:r>
      <w:r w:rsidRPr="00101677">
        <w:t xml:space="preserve"> real progress and deserve</w:t>
      </w:r>
      <w:r w:rsidR="00F9605F">
        <w:t>s</w:t>
      </w:r>
      <w:r w:rsidRPr="00101677">
        <w:t xml:space="preserve"> recognition. These actions demonstrate that California can still act at scale when political will aligns with physical reality.</w:t>
      </w:r>
    </w:p>
    <w:p w:rsidR="00101677" w:rsidRPr="00101677" w:rsidRDefault="00101677" w:rsidP="00101677">
      <w:pPr>
        <w:pStyle w:val="NormalWeb"/>
      </w:pPr>
      <w:r w:rsidRPr="00101677">
        <w:t xml:space="preserve">At the same time, the climate century demands more than individual projects or long-term targets. It requires governance systems capable of managing </w:t>
      </w:r>
      <w:r w:rsidRPr="00101677">
        <w:rPr>
          <w:rStyle w:val="Strong"/>
          <w:b w:val="0"/>
        </w:rPr>
        <w:t>continuous transformation</w:t>
      </w:r>
      <w:r w:rsidRPr="00101677">
        <w:t xml:space="preserve"> under conditions of ecological stress, historic population shifts, and political volatility produced by their convergence.</w:t>
      </w:r>
    </w:p>
    <w:p w:rsidR="00101677" w:rsidRPr="00101677" w:rsidRDefault="00101677" w:rsidP="00101677">
      <w:pPr>
        <w:pStyle w:val="NormalWeb"/>
      </w:pPr>
      <w:r w:rsidRPr="00101677">
        <w:t>Several structural gaps remain difficult to ignore.</w:t>
      </w:r>
    </w:p>
    <w:p w:rsidR="00101677" w:rsidRPr="00101677" w:rsidRDefault="00101677" w:rsidP="00101677">
      <w:pPr>
        <w:pStyle w:val="NormalWeb"/>
      </w:pPr>
      <w:r w:rsidRPr="00101677">
        <w:t xml:space="preserve">First, </w:t>
      </w:r>
      <w:r w:rsidRPr="00101677">
        <w:rPr>
          <w:rStyle w:val="Strong"/>
          <w:b w:val="0"/>
        </w:rPr>
        <w:t>grid capacity, transmission, and interconnection</w:t>
      </w:r>
      <w:r w:rsidRPr="00101677">
        <w:t xml:space="preserve"> continue to lag behind generation goals. Renewable deployment cannot deliver resilience if permitting, regional coordination, and infrastructure investment rema</w:t>
      </w:r>
      <w:bookmarkStart w:id="0" w:name="_GoBack"/>
      <w:bookmarkEnd w:id="0"/>
      <w:r w:rsidRPr="00101677">
        <w:t>in constrained by institutional inertia rather than material necessity. Targets alone do not substitute for physical readiness.</w:t>
      </w:r>
    </w:p>
    <w:p w:rsidR="00101677" w:rsidRPr="00101677" w:rsidRDefault="00101677" w:rsidP="00101677">
      <w:pPr>
        <w:pStyle w:val="NormalWeb"/>
      </w:pPr>
      <w:r w:rsidRPr="00101677">
        <w:t xml:space="preserve">Second, California’s climate planning has not yet fully accounted for </w:t>
      </w:r>
      <w:r w:rsidRPr="00101677">
        <w:rPr>
          <w:rStyle w:val="Strong"/>
          <w:b w:val="0"/>
        </w:rPr>
        <w:t>AI-driven load growth</w:t>
      </w:r>
      <w:r w:rsidRPr="00101677">
        <w:t>. Data centers, automation, and compute-intensive infra</w:t>
      </w:r>
      <w:r w:rsidR="00F9605F">
        <w:t xml:space="preserve">structure are expanding rapidly, often with public support, </w:t>
      </w:r>
      <w:r w:rsidRPr="00101677">
        <w:t>yet their energy and water demands remain under-modeled in decarbonization scenarios. This creates a planning paradox: demand is treated as stable while policy incentives actively accelerate it. We are concerned that grid-expansion fun</w:t>
      </w:r>
      <w:r>
        <w:t xml:space="preserve">ding may be deployed reactively, </w:t>
      </w:r>
      <w:r w:rsidRPr="00101677">
        <w:t>prioritizing short-term load accommodation</w:t>
      </w:r>
      <w:r>
        <w:t xml:space="preserve"> over long-term decarbonization, </w:t>
      </w:r>
      <w:r w:rsidRPr="00101677">
        <w:t>while expo</w:t>
      </w:r>
      <w:r>
        <w:t>sing ratepayers to rising costs in the process</w:t>
      </w:r>
      <w:r w:rsidR="005B33DC">
        <w:t>.</w:t>
      </w:r>
    </w:p>
    <w:p w:rsidR="00101677" w:rsidRPr="00101677" w:rsidRDefault="00101677" w:rsidP="00101677">
      <w:pPr>
        <w:pStyle w:val="NormalWeb"/>
      </w:pPr>
      <w:r w:rsidRPr="00101677">
        <w:t xml:space="preserve">Third, climate policy has become </w:t>
      </w:r>
      <w:r w:rsidRPr="00101677">
        <w:rPr>
          <w:rStyle w:val="Strong"/>
          <w:b w:val="0"/>
        </w:rPr>
        <w:t>politically fragile</w:t>
      </w:r>
      <w:r w:rsidRPr="00101677">
        <w:t>. Even lawfully authorized programs have proven vulnerable to delay, litigation, and political interference. This volatility undermines long-term planning and erodes public confidence, regardless of stated ambition.</w:t>
      </w:r>
    </w:p>
    <w:p w:rsidR="00101677" w:rsidRPr="00633C4F" w:rsidRDefault="00101677" w:rsidP="00101677">
      <w:pPr>
        <w:pStyle w:val="NormalWeb"/>
      </w:pPr>
      <w:r w:rsidRPr="00633C4F">
        <w:t>These realities point to a conclusion that must be stated plainly.</w:t>
      </w:r>
    </w:p>
    <w:p w:rsidR="00101677" w:rsidRPr="00101677" w:rsidRDefault="00101677" w:rsidP="00101677">
      <w:pPr>
        <w:pStyle w:val="NormalWeb"/>
      </w:pPr>
      <w:r w:rsidRPr="00633C4F">
        <w:rPr>
          <w:rStyle w:val="Strong"/>
          <w:b w:val="0"/>
        </w:rPr>
        <w:t>The</w:t>
      </w:r>
      <w:r w:rsidRPr="00633C4F">
        <w:rPr>
          <w:rStyle w:val="Strong"/>
        </w:rPr>
        <w:t xml:space="preserve"> Mighty Oak Party’s</w:t>
      </w:r>
      <w:r w:rsidRPr="00633C4F">
        <w:rPr>
          <w:rStyle w:val="Strong"/>
          <w:b w:val="0"/>
        </w:rPr>
        <w:t xml:space="preserve"> position is that California’s existing political and policy framework is not capable of delivering the scale, speed, or continuity of transformation the climate century requires.</w:t>
      </w:r>
      <w:r w:rsidRPr="00633C4F">
        <w:t xml:space="preserve"> This is not a rejection of California’s climate institutions, nor an accusation of bad faith. It is a recognition that </w:t>
      </w:r>
      <w:r w:rsidR="00633C4F" w:rsidRPr="00633C4F">
        <w:t>the political process is</w:t>
      </w:r>
      <w:r w:rsidRPr="00633C4F">
        <w:t xml:space="preserve"> structurally mismatched to </w:t>
      </w:r>
      <w:r w:rsidR="00633C4F">
        <w:t>catastrophic risks</w:t>
      </w:r>
      <w:r w:rsidR="00633C4F" w:rsidRPr="00633C4F">
        <w:t xml:space="preserve"> unfolding over timelines longer than one or more election cycles.</w:t>
      </w:r>
    </w:p>
    <w:p w:rsidR="00101677" w:rsidRPr="00101677" w:rsidRDefault="00101677" w:rsidP="00101677">
      <w:pPr>
        <w:pStyle w:val="NormalWeb"/>
      </w:pPr>
      <w:r w:rsidRPr="00101677">
        <w:t xml:space="preserve">For this reason, we hold that representative government must be </w:t>
      </w:r>
      <w:r>
        <w:rPr>
          <w:rStyle w:val="Strong"/>
          <w:b w:val="0"/>
        </w:rPr>
        <w:t>strengthened from the outside</w:t>
      </w:r>
      <w:r w:rsidRPr="00101677">
        <w:t>, not merely relied upon.</w:t>
      </w:r>
    </w:p>
    <w:p w:rsidR="00101677" w:rsidRPr="00F9605F" w:rsidRDefault="00101677" w:rsidP="00101677">
      <w:pPr>
        <w:pStyle w:val="NormalWeb"/>
        <w:rPr>
          <w:highlight w:val="yellow"/>
        </w:rPr>
      </w:pPr>
      <w:r w:rsidRPr="00F9605F">
        <w:lastRenderedPageBreak/>
        <w:t xml:space="preserve">The Mighty Oak Party is therefore working to form the Bay Area’s first </w:t>
      </w:r>
      <w:r w:rsidRPr="00F9605F">
        <w:rPr>
          <w:rStyle w:val="Strong"/>
        </w:rPr>
        <w:t>Local Assembly</w:t>
      </w:r>
      <w:r w:rsidR="00F9605F" w:rsidRPr="00F9605F">
        <w:t xml:space="preserve">: </w:t>
      </w:r>
      <w:r w:rsidRPr="00F9605F">
        <w:t xml:space="preserve">a nonpartisan, community-based </w:t>
      </w:r>
      <w:r w:rsidRPr="00633C4F">
        <w:t>forum for sustained public deliberation on climate risk, infrastructure priorities, and democratic continuity</w:t>
      </w:r>
      <w:r w:rsidR="00633C4F">
        <w:t>.</w:t>
      </w:r>
      <w:r w:rsidR="00633C4F" w:rsidRPr="00633C4F">
        <w:t xml:space="preserve"> </w:t>
      </w:r>
      <w:r w:rsidRPr="00633C4F">
        <w:t xml:space="preserve">As outlined in our </w:t>
      </w:r>
      <w:r w:rsidRPr="00633C4F">
        <w:rPr>
          <w:rStyle w:val="Emphasis"/>
        </w:rPr>
        <w:t>America 2050</w:t>
      </w:r>
      <w:r w:rsidRPr="00633C4F">
        <w:t xml:space="preserve"> framework, the decades ahead are more likely to be characterized by </w:t>
      </w:r>
      <w:r w:rsidRPr="00633C4F">
        <w:rPr>
          <w:rStyle w:val="Strong"/>
          <w:b w:val="0"/>
        </w:rPr>
        <w:t>fragmentation and improvisation</w:t>
      </w:r>
      <w:r w:rsidRPr="00633C4F">
        <w:t xml:space="preserve"> than by sudden collapse. Infrastructure replacement will lag behind disaster frequency. Federal programs will strain unevenly. States will expand emergency powers asymmetrically. Under such conditions, long-term stability depends increasingly on </w:t>
      </w:r>
      <w:r w:rsidRPr="00633C4F">
        <w:rPr>
          <w:rStyle w:val="Strong"/>
          <w:b w:val="0"/>
        </w:rPr>
        <w:t>local civic capacity</w:t>
      </w:r>
      <w:r w:rsidRPr="00633C4F">
        <w:t>.</w:t>
      </w:r>
    </w:p>
    <w:p w:rsidR="00633C4F" w:rsidRDefault="00633C4F" w:rsidP="00101677">
      <w:pPr>
        <w:pStyle w:val="NormalWeb"/>
      </w:pPr>
      <w:r w:rsidRPr="00633C4F">
        <w:t>This letter is intended to clarify how we understand the present moment and the course of action we are pursuing in response. We offer it as a statement of position, grounded in long-horizon risk and institutional capacity, and as part of a broader public record—reflecting the conclusion reached by informed citizens that existing political alignments are not capable of preventing escalating human suffering at the scale the climate century will produce.</w:t>
      </w:r>
    </w:p>
    <w:p w:rsidR="00101677" w:rsidRPr="00101677" w:rsidRDefault="00101677" w:rsidP="00101677">
      <w:pPr>
        <w:pStyle w:val="NormalWeb"/>
      </w:pPr>
      <w:r w:rsidRPr="00101677">
        <w:t>We welcome your continued efforts to advance climate resilience and clean-energy deployment, and we invite you to engage with emerging civic models designed to meet the scale of the challenge ahead.</w:t>
      </w:r>
    </w:p>
    <w:p w:rsidR="00F9605F" w:rsidRDefault="00101677" w:rsidP="00101677">
      <w:pPr>
        <w:pStyle w:val="NormalWeb"/>
      </w:pPr>
      <w:r w:rsidRPr="00101677">
        <w:t>The climate century will not</w:t>
      </w:r>
      <w:r w:rsidR="00F9605F">
        <w:t xml:space="preserve"> be navigated by targets alone.</w:t>
      </w:r>
    </w:p>
    <w:p w:rsidR="00101677" w:rsidRPr="00101677" w:rsidRDefault="00101677" w:rsidP="00101677">
      <w:pPr>
        <w:pStyle w:val="NormalWeb"/>
      </w:pPr>
      <w:r w:rsidRPr="00101677">
        <w:t>It will be shaped by institutions willing to speak plainly about reality—and communities empowered to deliberate about their future.</w:t>
      </w:r>
    </w:p>
    <w:p w:rsidR="0000275A" w:rsidRPr="00101677" w:rsidRDefault="00101677" w:rsidP="00101677">
      <w:pPr>
        <w:pStyle w:val="NormalWeb"/>
      </w:pPr>
      <w:r w:rsidRPr="00800437">
        <w:rPr>
          <w:i/>
          <w:noProof/>
          <w:sz w:val="30"/>
          <w:szCs w:val="30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1790700</wp:posOffset>
            </wp:positionH>
            <wp:positionV relativeFrom="margin">
              <wp:posOffset>5140960</wp:posOffset>
            </wp:positionV>
            <wp:extent cx="2362200" cy="2609424"/>
            <wp:effectExtent l="0" t="0" r="0" b="635"/>
            <wp:wrapSquare wrapText="bothSides"/>
            <wp:docPr id="1" name="Picture 1" descr="C:\Users\Jeremy Sarnecky\Desktop\Mighty Oak Party\MOP Logos\Screenshot 2025-08-23 0956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eremy Sarnecky\Desktop\Mighty Oak Party\MOP Logos\Screenshot 2025-08-23 095629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26094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Respectfully</w:t>
      </w:r>
      <w:r w:rsidR="005B33DC">
        <w:t xml:space="preserve">, </w:t>
      </w:r>
      <w:r>
        <w:br/>
      </w:r>
      <w:r>
        <w:rPr>
          <w:rStyle w:val="Strong"/>
        </w:rPr>
        <w:t>The Mighty Oak Party</w:t>
      </w:r>
      <w:r>
        <w:br/>
      </w:r>
      <w:r>
        <w:rPr>
          <w:rStyle w:val="Emphasis"/>
        </w:rPr>
        <w:t>Rooted in the People</w:t>
      </w:r>
      <w:r w:rsidR="00D23307" w:rsidRPr="00800437">
        <w:rPr>
          <w:i/>
          <w:sz w:val="30"/>
          <w:szCs w:val="30"/>
        </w:rPr>
        <w:t xml:space="preserve"> </w:t>
      </w:r>
    </w:p>
    <w:sectPr w:rsidR="0000275A" w:rsidRPr="0010167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483E" w:rsidRDefault="0050483E" w:rsidP="00AD6FE6">
      <w:pPr>
        <w:spacing w:line="240" w:lineRule="auto"/>
      </w:pPr>
      <w:r>
        <w:separator/>
      </w:r>
    </w:p>
  </w:endnote>
  <w:endnote w:type="continuationSeparator" w:id="0">
    <w:p w:rsidR="0050483E" w:rsidRDefault="0050483E" w:rsidP="00AD6FE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6FE6" w:rsidRDefault="00AD6FE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6FE6" w:rsidRDefault="00AD6FE6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6FE6" w:rsidRDefault="00AD6FE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483E" w:rsidRDefault="0050483E" w:rsidP="00AD6FE6">
      <w:pPr>
        <w:spacing w:line="240" w:lineRule="auto"/>
      </w:pPr>
      <w:r>
        <w:separator/>
      </w:r>
    </w:p>
  </w:footnote>
  <w:footnote w:type="continuationSeparator" w:id="0">
    <w:p w:rsidR="0050483E" w:rsidRDefault="0050483E" w:rsidP="00AD6FE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6FE6" w:rsidRDefault="00AD6FE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6FE6" w:rsidRDefault="00AD6FE6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6FE6" w:rsidRDefault="00AD6FE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3307"/>
    <w:rsid w:val="0000275A"/>
    <w:rsid w:val="00101677"/>
    <w:rsid w:val="0050483E"/>
    <w:rsid w:val="00555502"/>
    <w:rsid w:val="005B33DC"/>
    <w:rsid w:val="00633C4F"/>
    <w:rsid w:val="00800437"/>
    <w:rsid w:val="008C0EBC"/>
    <w:rsid w:val="00AD6FE6"/>
    <w:rsid w:val="00AE6D31"/>
    <w:rsid w:val="00D23307"/>
    <w:rsid w:val="00F96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0137786-34A7-4CBA-9CB7-88D9809379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Mongolian Baiti"/>
        <w:sz w:val="24"/>
        <w:szCs w:val="22"/>
        <w:lang w:val="en-US" w:eastAsia="en-US" w:bidi="ar-SA"/>
      </w:rPr>
    </w:rPrDefault>
    <w:pPrDefault>
      <w:pPr>
        <w:spacing w:line="25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D6FE6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FE6"/>
  </w:style>
  <w:style w:type="paragraph" w:styleId="Footer">
    <w:name w:val="footer"/>
    <w:basedOn w:val="Normal"/>
    <w:link w:val="FooterChar"/>
    <w:uiPriority w:val="99"/>
    <w:unhideWhenUsed/>
    <w:rsid w:val="00AD6FE6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FE6"/>
  </w:style>
  <w:style w:type="paragraph" w:styleId="NormalWeb">
    <w:name w:val="Normal (Web)"/>
    <w:basedOn w:val="Normal"/>
    <w:uiPriority w:val="99"/>
    <w:unhideWhenUsed/>
    <w:rsid w:val="00101677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character" w:styleId="Strong">
    <w:name w:val="Strong"/>
    <w:basedOn w:val="DefaultParagraphFont"/>
    <w:uiPriority w:val="22"/>
    <w:qFormat/>
    <w:rsid w:val="00101677"/>
    <w:rPr>
      <w:b/>
      <w:bCs/>
    </w:rPr>
  </w:style>
  <w:style w:type="character" w:styleId="Emphasis">
    <w:name w:val="Emphasis"/>
    <w:basedOn w:val="DefaultParagraphFont"/>
    <w:uiPriority w:val="20"/>
    <w:qFormat/>
    <w:rsid w:val="0010167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490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9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530DED-621C-47A2-BB24-CEC587F0F4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4148</TotalTime>
  <Pages>2</Pages>
  <Words>639</Words>
  <Characters>3644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Jeremy Sarnecky</dc:creator>
  <cp:keywords/>
  <dc:description/>
  <cp:lastModifiedBy>Jeremy Sarnecky</cp:lastModifiedBy>
  <cp:revision>3</cp:revision>
  <dcterms:created xsi:type="dcterms:W3CDTF">2025-12-13T06:44:00Z</dcterms:created>
  <dcterms:modified xsi:type="dcterms:W3CDTF">2025-12-16T03:57:00Z</dcterms:modified>
</cp:coreProperties>
</file>